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667E" w14:textId="4FB3A377" w:rsidR="004E246C" w:rsidRDefault="00C445EC" w:rsidP="003A4925">
      <w:pPr>
        <w:pStyle w:val="Titel"/>
      </w:pPr>
      <w:r w:rsidRPr="005C3CF5">
        <w:t>Learning objectives AGEM PhD</w:t>
      </w:r>
      <w:r w:rsidR="00B76BA2">
        <w:t xml:space="preserve"> candidate</w:t>
      </w:r>
      <w:r w:rsidRPr="005C3CF5">
        <w:t xml:space="preserve"> course</w:t>
      </w:r>
    </w:p>
    <w:p w14:paraId="3992E552" w14:textId="77777777" w:rsidR="003A4925" w:rsidRPr="003A4925" w:rsidRDefault="003A4925" w:rsidP="003A4925"/>
    <w:p w14:paraId="603DCAE2" w14:textId="76E85012" w:rsidR="00E62DA2" w:rsidRPr="005C3CF5" w:rsidRDefault="00C527C1" w:rsidP="005C3CF5">
      <w:pPr>
        <w:spacing w:after="0"/>
        <w:jc w:val="both"/>
        <w:rPr>
          <w:b/>
          <w:bCs/>
          <w:color w:val="000000" w:themeColor="text1"/>
        </w:rPr>
      </w:pPr>
      <w:r w:rsidRPr="005C3CF5">
        <w:rPr>
          <w:b/>
          <w:bCs/>
          <w:color w:val="000000" w:themeColor="text1"/>
        </w:rPr>
        <w:t>Overall l</w:t>
      </w:r>
      <w:r w:rsidR="00E62DA2" w:rsidRPr="005C3CF5">
        <w:rPr>
          <w:b/>
          <w:bCs/>
          <w:color w:val="000000" w:themeColor="text1"/>
        </w:rPr>
        <w:t>earning objectives AGEM PhD</w:t>
      </w:r>
      <w:r w:rsidR="00B76BA2">
        <w:rPr>
          <w:b/>
          <w:bCs/>
          <w:color w:val="000000" w:themeColor="text1"/>
        </w:rPr>
        <w:t xml:space="preserve"> candidate</w:t>
      </w:r>
      <w:r w:rsidR="00E62DA2" w:rsidRPr="005C3CF5">
        <w:rPr>
          <w:b/>
          <w:bCs/>
          <w:color w:val="000000" w:themeColor="text1"/>
        </w:rPr>
        <w:t xml:space="preserve"> course:</w:t>
      </w:r>
    </w:p>
    <w:p w14:paraId="210904F0" w14:textId="77777777" w:rsidR="004C555B" w:rsidRPr="004C555B" w:rsidRDefault="00DC483F" w:rsidP="004C555B">
      <w:pPr>
        <w:spacing w:after="0"/>
        <w:jc w:val="both"/>
        <w:rPr>
          <w:rFonts w:eastAsiaTheme="majorEastAsia" w:cstheme="minorHAnsi"/>
          <w:bCs/>
          <w:color w:val="000000" w:themeColor="text1"/>
          <w:sz w:val="28"/>
          <w:szCs w:val="28"/>
        </w:rPr>
      </w:pPr>
      <w:r w:rsidRPr="004C555B">
        <w:rPr>
          <w:rStyle w:val="cf01"/>
          <w:rFonts w:asciiTheme="minorHAnsi" w:hAnsiTheme="minorHAnsi" w:cstheme="minorHAnsi"/>
          <w:sz w:val="22"/>
          <w:szCs w:val="22"/>
        </w:rPr>
        <w:t>After the AGEM PhD candidate course, the PhD candidate should be able to...</w:t>
      </w:r>
      <w:r w:rsidRPr="004C555B" w:rsidDel="00DC483F">
        <w:rPr>
          <w:rFonts w:eastAsiaTheme="majorEastAsia" w:cstheme="minorHAnsi"/>
          <w:bCs/>
          <w:color w:val="000000" w:themeColor="text1"/>
          <w:sz w:val="28"/>
          <w:szCs w:val="28"/>
        </w:rPr>
        <w:t xml:space="preserve"> </w:t>
      </w:r>
    </w:p>
    <w:p w14:paraId="5400CA49" w14:textId="6FEAE2BB" w:rsidR="00E62DA2" w:rsidRPr="005C3CF5" w:rsidRDefault="00E62DA2" w:rsidP="005C3CF5">
      <w:pPr>
        <w:pStyle w:val="Lijstalinea"/>
        <w:numPr>
          <w:ilvl w:val="0"/>
          <w:numId w:val="9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 w:eastAsia="nl-NL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describe and summarize metabolism, endocrinology and the liver and gastrointestinal system in health and disease.</w:t>
      </w:r>
    </w:p>
    <w:p w14:paraId="3D5D271D" w14:textId="3122B897" w:rsidR="00E62DA2" w:rsidRPr="005C3CF5" w:rsidRDefault="00E62DA2" w:rsidP="005C3CF5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recognize and describe current </w:t>
      </w:r>
      <w:r w:rsidR="008B7847">
        <w:rPr>
          <w:rFonts w:asciiTheme="minorHAnsi" w:eastAsia="Times New Roman" w:hAnsiTheme="minorHAnsi" w:cs="Arial"/>
          <w:color w:val="000000" w:themeColor="text1"/>
          <w:lang w:val="en-US"/>
        </w:rPr>
        <w:t xml:space="preserve">research issues and clinical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issues in metabolism, endocrinology and gastroenterology.</w:t>
      </w:r>
    </w:p>
    <w:p w14:paraId="39B26026" w14:textId="222D09AA" w:rsidR="00E62DA2" w:rsidRPr="005C3CF5" w:rsidRDefault="00E62DA2" w:rsidP="005C3CF5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explain why and how basic and applied research can be used to solve issues in metabolism, endocrinology and gastroenterology.</w:t>
      </w:r>
    </w:p>
    <w:p w14:paraId="413E405C" w14:textId="66FCEBAD" w:rsidR="005C3CF5" w:rsidRPr="005C3CF5" w:rsidRDefault="005C3CF5" w:rsidP="005C3CF5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understand the (combined) use and value of epidemiology, cohorts, clinical trials, animal experiments and in vitro/ex vivo</w:t>
      </w: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 and computational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 approaches. </w:t>
      </w:r>
    </w:p>
    <w:p w14:paraId="0B1F58C4" w14:textId="3E2D815B" w:rsidR="00E62DA2" w:rsidRPr="005C3CF5" w:rsidRDefault="00E62DA2" w:rsidP="005C3CF5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describe</w:t>
      </w:r>
      <w:r w:rsidR="004B4FCE"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 current focus areas in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metabolism, endocrinology and gastroenterology</w:t>
      </w:r>
      <w:r w:rsidR="004B4FCE"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 worldwide and within AGEM and </w:t>
      </w:r>
      <w:r w:rsidR="00065C05">
        <w:rPr>
          <w:rFonts w:asciiTheme="minorHAnsi" w:eastAsia="Times New Roman" w:hAnsiTheme="minorHAnsi" w:cs="Arial"/>
          <w:color w:val="000000" w:themeColor="text1"/>
          <w:lang w:val="en-US"/>
        </w:rPr>
        <w:t xml:space="preserve">the </w:t>
      </w:r>
      <w:r w:rsidR="004B4FCE" w:rsidRPr="005C3CF5">
        <w:rPr>
          <w:rFonts w:asciiTheme="minorHAnsi" w:eastAsia="Times New Roman" w:hAnsiTheme="minorHAnsi" w:cs="Arial"/>
          <w:color w:val="000000" w:themeColor="text1"/>
          <w:lang w:val="en-US"/>
        </w:rPr>
        <w:t>Amsterdam UMC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.</w:t>
      </w:r>
    </w:p>
    <w:p w14:paraId="2E0E1B1E" w14:textId="200A05F7" w:rsidR="008D4E92" w:rsidRPr="005C3CF5" w:rsidRDefault="008B7847" w:rsidP="005C3CF5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give </w:t>
      </w:r>
      <w:r w:rsidR="008D4E92" w:rsidRPr="005C3CF5">
        <w:rPr>
          <w:rFonts w:asciiTheme="minorHAnsi" w:eastAsia="Times New Roman" w:hAnsiTheme="minorHAnsi" w:cs="Arial"/>
          <w:color w:val="000000" w:themeColor="text1"/>
          <w:lang w:val="en-US"/>
        </w:rPr>
        <w:t>an overview of (shared) infrastructure for and knowledge on metabolism, endocrinology and gastroenterology within AGEM and Amsterdam UMC.</w:t>
      </w:r>
    </w:p>
    <w:p w14:paraId="0C4887DB" w14:textId="7CD9BFA1" w:rsidR="00F22B75" w:rsidRPr="005C3CF5" w:rsidRDefault="00E62DA2" w:rsidP="005C3CF5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clearly present scientific data </w:t>
      </w:r>
      <w:r w:rsidR="00BC4A2D">
        <w:rPr>
          <w:rFonts w:asciiTheme="minorHAnsi" w:eastAsia="Times New Roman" w:hAnsiTheme="minorHAnsi" w:cs="Arial"/>
          <w:color w:val="000000" w:themeColor="text1"/>
          <w:lang w:val="en-US"/>
        </w:rPr>
        <w:t xml:space="preserve">verbally and in writing,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and explain background information</w:t>
      </w:r>
      <w:r w:rsidR="00BC4A2D">
        <w:rPr>
          <w:rFonts w:asciiTheme="minorHAnsi" w:eastAsia="Times New Roman" w:hAnsiTheme="minorHAnsi" w:cs="Arial"/>
          <w:color w:val="000000" w:themeColor="text1"/>
          <w:lang w:val="en-US"/>
        </w:rPr>
        <w:t xml:space="preserve"> to a scientific committee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.</w:t>
      </w:r>
    </w:p>
    <w:p w14:paraId="13659AB6" w14:textId="77777777" w:rsidR="005C4A9E" w:rsidRPr="005C3CF5" w:rsidRDefault="005C4A9E" w:rsidP="005C3CF5">
      <w:pPr>
        <w:spacing w:after="0"/>
        <w:jc w:val="both"/>
        <w:rPr>
          <w:b/>
          <w:bCs/>
          <w:color w:val="000000" w:themeColor="text1"/>
        </w:rPr>
      </w:pPr>
    </w:p>
    <w:p w14:paraId="3FC3A5FA" w14:textId="210DD29D" w:rsidR="007B2E46" w:rsidRPr="005C3CF5" w:rsidRDefault="007B2E46" w:rsidP="00F422E5">
      <w:pPr>
        <w:spacing w:after="0"/>
        <w:rPr>
          <w:bCs/>
          <w:color w:val="000000" w:themeColor="text1"/>
        </w:rPr>
      </w:pPr>
      <w:r w:rsidRPr="005C3CF5">
        <w:rPr>
          <w:b/>
          <w:bCs/>
          <w:color w:val="000000" w:themeColor="text1"/>
        </w:rPr>
        <w:t>Learning objectives AGEM PhD</w:t>
      </w:r>
      <w:r w:rsidR="00B76BA2">
        <w:rPr>
          <w:b/>
          <w:bCs/>
          <w:color w:val="000000" w:themeColor="text1"/>
        </w:rPr>
        <w:t xml:space="preserve"> candidate</w:t>
      </w:r>
      <w:r w:rsidRPr="005C3CF5">
        <w:rPr>
          <w:b/>
          <w:bCs/>
          <w:color w:val="000000" w:themeColor="text1"/>
        </w:rPr>
        <w:t xml:space="preserve"> course assignment and pitch workshop:</w:t>
      </w:r>
      <w:r w:rsidRPr="005C3CF5">
        <w:rPr>
          <w:b/>
          <w:bCs/>
          <w:color w:val="000000" w:themeColor="text1"/>
        </w:rPr>
        <w:br/>
      </w:r>
      <w:r w:rsidR="004C555B">
        <w:rPr>
          <w:bCs/>
          <w:color w:val="000000" w:themeColor="text1"/>
        </w:rPr>
        <w:t xml:space="preserve">After </w:t>
      </w:r>
      <w:r w:rsidRPr="005C3CF5">
        <w:rPr>
          <w:bCs/>
          <w:color w:val="000000" w:themeColor="text1"/>
        </w:rPr>
        <w:t>the assignment and the pitch workshop</w:t>
      </w:r>
      <w:r w:rsidR="0020466D">
        <w:rPr>
          <w:bCs/>
          <w:color w:val="000000" w:themeColor="text1"/>
        </w:rPr>
        <w:t>,</w:t>
      </w:r>
      <w:r w:rsidRPr="005C3CF5">
        <w:rPr>
          <w:bCs/>
          <w:color w:val="000000" w:themeColor="text1"/>
        </w:rPr>
        <w:t xml:space="preserve"> the </w:t>
      </w:r>
      <w:r w:rsidR="00B76BA2">
        <w:rPr>
          <w:rFonts w:eastAsiaTheme="majorEastAsia" w:cstheme="majorBidi"/>
          <w:bCs/>
          <w:color w:val="000000" w:themeColor="text1"/>
        </w:rPr>
        <w:t>PhD candidate</w:t>
      </w:r>
      <w:r w:rsidR="00B76BA2" w:rsidRPr="005C3CF5">
        <w:rPr>
          <w:rFonts w:eastAsiaTheme="majorEastAsia" w:cstheme="majorBidi"/>
          <w:bCs/>
          <w:color w:val="000000" w:themeColor="text1"/>
        </w:rPr>
        <w:t xml:space="preserve"> </w:t>
      </w:r>
      <w:r w:rsidRPr="005C3CF5">
        <w:rPr>
          <w:bCs/>
          <w:color w:val="000000" w:themeColor="text1"/>
        </w:rPr>
        <w:t>should</w:t>
      </w:r>
      <w:r w:rsidR="004C555B">
        <w:rPr>
          <w:bCs/>
          <w:color w:val="000000" w:themeColor="text1"/>
        </w:rPr>
        <w:t xml:space="preserve"> be able to…</w:t>
      </w:r>
    </w:p>
    <w:p w14:paraId="4FC34ABA" w14:textId="47E75875" w:rsidR="007B2E46" w:rsidRPr="005C3CF5" w:rsidRDefault="007B2E46" w:rsidP="005C3CF5">
      <w:pPr>
        <w:pStyle w:val="Lijstalinea"/>
        <w:numPr>
          <w:ilvl w:val="0"/>
          <w:numId w:val="8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write a concise and convincing </w:t>
      </w:r>
      <w:r w:rsidR="008D4E92"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research 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proposal.</w:t>
      </w:r>
    </w:p>
    <w:p w14:paraId="3C2C8708" w14:textId="77777777" w:rsidR="008B7847" w:rsidRPr="005C3CF5" w:rsidRDefault="008B7847" w:rsidP="008B7847">
      <w:pPr>
        <w:pStyle w:val="Lijstalinea"/>
        <w:numPr>
          <w:ilvl w:val="0"/>
          <w:numId w:val="8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write a proposal that fits within an indicated (limited) budget.</w:t>
      </w:r>
    </w:p>
    <w:p w14:paraId="1216926C" w14:textId="6AFAF030" w:rsidR="007B2E46" w:rsidRPr="005C3CF5" w:rsidRDefault="007B2E46" w:rsidP="005C3CF5">
      <w:pPr>
        <w:pStyle w:val="Lijstalinea"/>
        <w:numPr>
          <w:ilvl w:val="0"/>
          <w:numId w:val="8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think outside of </w:t>
      </w:r>
      <w:r w:rsidR="008B7847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thei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r own area of expertise and work together with researchers from different disciplines.</w:t>
      </w:r>
    </w:p>
    <w:p w14:paraId="09A67470" w14:textId="29CEFF4E" w:rsidR="007B2E46" w:rsidRPr="005C3CF5" w:rsidRDefault="007B2E46" w:rsidP="005C3CF5">
      <w:pPr>
        <w:pStyle w:val="Lijstalinea"/>
        <w:numPr>
          <w:ilvl w:val="0"/>
          <w:numId w:val="8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pitch </w:t>
      </w:r>
      <w:r w:rsidR="00DC483F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a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 proposal in a clear and attractive manner </w:t>
      </w:r>
      <w:r w:rsidR="00BC4A2D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to a scientific committee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.</w:t>
      </w:r>
    </w:p>
    <w:p w14:paraId="2CAADFF7" w14:textId="77777777" w:rsidR="005C3CF5" w:rsidRDefault="005C3CF5" w:rsidP="005C3CF5">
      <w:pPr>
        <w:spacing w:after="0"/>
        <w:jc w:val="both"/>
        <w:rPr>
          <w:b/>
          <w:bCs/>
          <w:color w:val="000000" w:themeColor="text1"/>
        </w:rPr>
      </w:pPr>
    </w:p>
    <w:p w14:paraId="5B8B7A24" w14:textId="1EB42F2A" w:rsidR="00640E3A" w:rsidRPr="005C3CF5" w:rsidRDefault="00065C05" w:rsidP="005C3CF5">
      <w:pPr>
        <w:spacing w:after="0"/>
        <w:jc w:val="both"/>
        <w:rPr>
          <w:rFonts w:eastAsiaTheme="majorEastAsia" w:cstheme="majorBidi"/>
          <w:bCs/>
          <w:color w:val="000000" w:themeColor="text1"/>
        </w:rPr>
      </w:pPr>
      <w:r>
        <w:rPr>
          <w:b/>
          <w:bCs/>
          <w:color w:val="000000" w:themeColor="text1"/>
        </w:rPr>
        <w:t>Thematic l</w:t>
      </w:r>
      <w:r w:rsidR="00640E3A" w:rsidRPr="005C3CF5">
        <w:rPr>
          <w:b/>
          <w:bCs/>
          <w:color w:val="000000" w:themeColor="text1"/>
        </w:rPr>
        <w:t>earning objectives AGEM PhD</w:t>
      </w:r>
      <w:r>
        <w:rPr>
          <w:b/>
          <w:bCs/>
          <w:color w:val="000000" w:themeColor="text1"/>
        </w:rPr>
        <w:t xml:space="preserve"> candidate </w:t>
      </w:r>
      <w:r w:rsidR="00640E3A" w:rsidRPr="005C3CF5">
        <w:rPr>
          <w:b/>
          <w:bCs/>
          <w:color w:val="000000" w:themeColor="text1"/>
        </w:rPr>
        <w:t xml:space="preserve">course </w:t>
      </w:r>
    </w:p>
    <w:p w14:paraId="38D1014F" w14:textId="4110154C" w:rsidR="00B76BA2" w:rsidRPr="005C3CF5" w:rsidRDefault="004C555B" w:rsidP="00B76BA2">
      <w:pPr>
        <w:spacing w:after="0"/>
        <w:jc w:val="both"/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 xml:space="preserve">After </w:t>
      </w:r>
      <w:r w:rsidR="00B76BA2" w:rsidRPr="005C3CF5">
        <w:rPr>
          <w:rFonts w:eastAsiaTheme="majorEastAsia" w:cstheme="majorBidi"/>
          <w:bCs/>
          <w:color w:val="000000" w:themeColor="text1"/>
        </w:rPr>
        <w:t>the AGEM PhD</w:t>
      </w:r>
      <w:r w:rsidR="00B76BA2">
        <w:rPr>
          <w:rFonts w:eastAsiaTheme="majorEastAsia" w:cstheme="majorBidi"/>
          <w:bCs/>
          <w:color w:val="000000" w:themeColor="text1"/>
        </w:rPr>
        <w:t xml:space="preserve"> candidate</w:t>
      </w:r>
      <w:r w:rsidR="00B76BA2" w:rsidRPr="005C3CF5">
        <w:rPr>
          <w:rFonts w:eastAsiaTheme="majorEastAsia" w:cstheme="majorBidi"/>
          <w:bCs/>
          <w:color w:val="000000" w:themeColor="text1"/>
        </w:rPr>
        <w:t xml:space="preserve"> course</w:t>
      </w:r>
      <w:r w:rsidR="0020466D">
        <w:rPr>
          <w:rFonts w:eastAsiaTheme="majorEastAsia" w:cstheme="majorBidi"/>
          <w:bCs/>
          <w:color w:val="000000" w:themeColor="text1"/>
        </w:rPr>
        <w:t>,</w:t>
      </w:r>
      <w:r w:rsidR="00B76BA2" w:rsidRPr="005C3CF5">
        <w:rPr>
          <w:rFonts w:eastAsiaTheme="majorEastAsia" w:cstheme="majorBidi"/>
          <w:bCs/>
          <w:color w:val="000000" w:themeColor="text1"/>
        </w:rPr>
        <w:t xml:space="preserve"> the </w:t>
      </w:r>
      <w:r w:rsidR="00B76BA2">
        <w:rPr>
          <w:rFonts w:eastAsiaTheme="majorEastAsia" w:cstheme="majorBidi"/>
          <w:bCs/>
          <w:color w:val="000000" w:themeColor="text1"/>
        </w:rPr>
        <w:t>PhD candidate</w:t>
      </w:r>
      <w:r w:rsidR="00B76BA2" w:rsidRPr="005C3CF5">
        <w:rPr>
          <w:rFonts w:eastAsiaTheme="majorEastAsia" w:cstheme="majorBidi"/>
          <w:bCs/>
          <w:color w:val="000000" w:themeColor="text1"/>
        </w:rPr>
        <w:t xml:space="preserve"> should</w:t>
      </w:r>
      <w:r>
        <w:rPr>
          <w:rFonts w:eastAsiaTheme="majorEastAsia" w:cstheme="majorBidi"/>
          <w:bCs/>
          <w:color w:val="000000" w:themeColor="text1"/>
        </w:rPr>
        <w:t xml:space="preserve"> be able to…</w:t>
      </w:r>
    </w:p>
    <w:p w14:paraId="062072F8" w14:textId="425DA398" w:rsidR="00640E3A" w:rsidRPr="005C3CF5" w:rsidRDefault="00640E3A" w:rsidP="005C3CF5">
      <w:pPr>
        <w:spacing w:after="0"/>
        <w:jc w:val="both"/>
        <w:rPr>
          <w:rFonts w:eastAsiaTheme="majorEastAsia" w:cstheme="majorBidi"/>
          <w:bCs/>
          <w:i/>
          <w:color w:val="000000" w:themeColor="text1"/>
        </w:rPr>
      </w:pPr>
      <w:r w:rsidRPr="005C3CF5">
        <w:rPr>
          <w:rFonts w:eastAsiaTheme="majorEastAsia" w:cstheme="majorBidi"/>
          <w:bCs/>
          <w:i/>
          <w:color w:val="000000" w:themeColor="text1"/>
        </w:rPr>
        <w:t>Metabolism</w:t>
      </w:r>
    </w:p>
    <w:p w14:paraId="532ABA05" w14:textId="009D7AC7" w:rsidR="002A0F15" w:rsidRDefault="00DC483F" w:rsidP="005C3CF5">
      <w:pPr>
        <w:pStyle w:val="Lijstalinea"/>
        <w:numPr>
          <w:ilvl w:val="0"/>
          <w:numId w:val="7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>give</w:t>
      </w:r>
      <w:r w:rsidR="002A0F15">
        <w:rPr>
          <w:rFonts w:eastAsiaTheme="majorEastAsia" w:cstheme="majorBidi"/>
          <w:bCs/>
          <w:color w:val="000000" w:themeColor="text1"/>
          <w:lang w:val="en-US"/>
        </w:rPr>
        <w:t xml:space="preserve"> an overview of inborn errors of metabolism and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their </w:t>
      </w:r>
      <w:r w:rsidR="002A0F15">
        <w:rPr>
          <w:rFonts w:eastAsiaTheme="majorEastAsia" w:cstheme="majorBidi"/>
          <w:bCs/>
          <w:color w:val="000000" w:themeColor="text1"/>
          <w:lang w:val="en-US"/>
        </w:rPr>
        <w:t>consequences for human health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2BB5845F" w14:textId="088F4377" w:rsidR="002A0F15" w:rsidRDefault="00DC483F" w:rsidP="005C3CF5">
      <w:pPr>
        <w:pStyle w:val="Lijstalinea"/>
        <w:numPr>
          <w:ilvl w:val="0"/>
          <w:numId w:val="7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2A0F15">
        <w:rPr>
          <w:rFonts w:eastAsiaTheme="majorEastAsia" w:cstheme="majorBidi"/>
          <w:bCs/>
          <w:color w:val="000000" w:themeColor="text1"/>
          <w:lang w:val="en-US"/>
        </w:rPr>
        <w:t>what inborn errors of metabolism can teach us about the biology behind metabolic processes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5E21D7E2" w14:textId="07562E89" w:rsidR="008D4E92" w:rsidRDefault="00DC483F" w:rsidP="005C3CF5">
      <w:pPr>
        <w:pStyle w:val="Lijstalinea"/>
        <w:numPr>
          <w:ilvl w:val="0"/>
          <w:numId w:val="7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>the role of carbohydrate metabolism</w:t>
      </w:r>
      <w:r>
        <w:rPr>
          <w:rFonts w:eastAsiaTheme="majorEastAsia" w:cstheme="majorBidi"/>
          <w:bCs/>
          <w:color w:val="000000" w:themeColor="text1"/>
          <w:lang w:val="en-US"/>
        </w:rPr>
        <w:t>, lipid metabolism and protein metabolism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 in organism integrity.</w:t>
      </w:r>
    </w:p>
    <w:p w14:paraId="4F1AE2BA" w14:textId="581A3CA6" w:rsidR="0020466D" w:rsidRPr="005C3CF5" w:rsidRDefault="0020466D" w:rsidP="0020466D">
      <w:pPr>
        <w:pStyle w:val="Lijstalinea"/>
        <w:numPr>
          <w:ilvl w:val="0"/>
          <w:numId w:val="7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 role of carbohydrate metabolism</w:t>
      </w:r>
      <w:r>
        <w:rPr>
          <w:rFonts w:eastAsiaTheme="majorEastAsia" w:cstheme="majorBidi"/>
          <w:bCs/>
          <w:color w:val="000000" w:themeColor="text1"/>
          <w:lang w:val="en-US"/>
        </w:rPr>
        <w:t>, lipid metabolism and protein metabolism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in </w:t>
      </w:r>
      <w:r>
        <w:rPr>
          <w:rFonts w:eastAsiaTheme="majorEastAsia" w:cstheme="majorBidi"/>
          <w:bCs/>
          <w:color w:val="000000" w:themeColor="text1"/>
          <w:lang w:val="en-US"/>
        </w:rPr>
        <w:t>energy homeostasis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3DA9B5E6" w14:textId="1D59C627" w:rsidR="00640E3A" w:rsidRPr="005C3CF5" w:rsidRDefault="00640E3A" w:rsidP="005C3CF5">
      <w:pPr>
        <w:spacing w:after="0"/>
        <w:jc w:val="both"/>
        <w:rPr>
          <w:rFonts w:eastAsiaTheme="majorEastAsia" w:cstheme="majorBidi"/>
          <w:bCs/>
          <w:i/>
          <w:color w:val="000000" w:themeColor="text1"/>
        </w:rPr>
      </w:pPr>
      <w:r w:rsidRPr="005C3CF5">
        <w:rPr>
          <w:rFonts w:eastAsiaTheme="majorEastAsia" w:cstheme="majorBidi"/>
          <w:bCs/>
          <w:i/>
          <w:color w:val="000000" w:themeColor="text1"/>
        </w:rPr>
        <w:t>Endocrinology</w:t>
      </w:r>
    </w:p>
    <w:p w14:paraId="32B3FB2B" w14:textId="2319E032" w:rsidR="00640E3A" w:rsidRPr="005C3CF5" w:rsidRDefault="00DC483F" w:rsidP="005C3CF5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387CEF" w:rsidRPr="005C3CF5">
        <w:rPr>
          <w:rFonts w:eastAsiaTheme="majorEastAsia" w:cstheme="majorBidi"/>
          <w:bCs/>
          <w:color w:val="000000" w:themeColor="text1"/>
          <w:lang w:val="en-US"/>
        </w:rPr>
        <w:t>the physiology and pathophysiology of endocrinology</w:t>
      </w:r>
      <w:r w:rsidR="00640E3A" w:rsidRPr="005C3CF5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6BB79538" w14:textId="09F434CE" w:rsidR="00387CEF" w:rsidRPr="005C3CF5" w:rsidRDefault="00DC483F" w:rsidP="005C3CF5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387CEF" w:rsidRPr="005C3CF5">
        <w:rPr>
          <w:rFonts w:eastAsiaTheme="majorEastAsia" w:cstheme="majorBidi"/>
          <w:bCs/>
          <w:color w:val="000000" w:themeColor="text1"/>
          <w:lang w:val="en-US"/>
        </w:rPr>
        <w:t>how epidemiological studies can be used to answer scientific endocrinological questions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10564F9E" w14:textId="5DA8D325" w:rsidR="008D4E92" w:rsidRPr="004C555B" w:rsidRDefault="00DC483F" w:rsidP="004C555B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lastRenderedPageBreak/>
        <w:t xml:space="preserve">explain </w:t>
      </w:r>
      <w:r w:rsidR="00640E3A" w:rsidRPr="005C3CF5">
        <w:rPr>
          <w:rFonts w:eastAsiaTheme="majorEastAsia" w:cstheme="majorBidi"/>
          <w:bCs/>
          <w:color w:val="000000" w:themeColor="text1"/>
          <w:lang w:val="en-US"/>
        </w:rPr>
        <w:t xml:space="preserve">the difficulty of measuring hormones with respect to laboratory techniques as well as </w:t>
      </w:r>
      <w:r w:rsidR="003125B6">
        <w:rPr>
          <w:rFonts w:eastAsiaTheme="majorEastAsia" w:cstheme="majorBidi"/>
          <w:bCs/>
          <w:color w:val="000000" w:themeColor="text1"/>
          <w:lang w:val="en-US"/>
        </w:rPr>
        <w:t>pre-analytical issues</w:t>
      </w:r>
    </w:p>
    <w:p w14:paraId="2B2F98D2" w14:textId="4DD84B6E" w:rsidR="007455CC" w:rsidRPr="005C3CF5" w:rsidRDefault="007455CC" w:rsidP="005C3CF5">
      <w:pPr>
        <w:spacing w:after="0"/>
        <w:jc w:val="both"/>
        <w:rPr>
          <w:rFonts w:eastAsiaTheme="majorEastAsia" w:cstheme="majorBidi"/>
          <w:bCs/>
          <w:color w:val="000000" w:themeColor="text1"/>
        </w:rPr>
      </w:pPr>
      <w:r w:rsidRPr="005C3CF5">
        <w:rPr>
          <w:rFonts w:eastAsiaTheme="majorEastAsia" w:cstheme="majorBidi"/>
          <w:bCs/>
          <w:i/>
          <w:color w:val="000000" w:themeColor="text1"/>
        </w:rPr>
        <w:t>Gastroenterology and hepatology</w:t>
      </w:r>
    </w:p>
    <w:p w14:paraId="7E560F0A" w14:textId="37A5CDC3" w:rsidR="007455CC" w:rsidRPr="005C3CF5" w:rsidRDefault="00DC483F" w:rsidP="005C3CF5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7455CC" w:rsidRPr="005C3CF5">
        <w:rPr>
          <w:rFonts w:eastAsiaTheme="majorEastAsia" w:cstheme="majorBidi"/>
          <w:bCs/>
          <w:color w:val="000000" w:themeColor="text1"/>
          <w:lang w:val="en-US"/>
        </w:rPr>
        <w:t>the use of gene therapy in liver diseases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16F2AEDB" w14:textId="48ED6C52" w:rsidR="00B76BA2" w:rsidRDefault="00DC483F" w:rsidP="00B76BA2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7455CC" w:rsidRPr="005C3CF5">
        <w:rPr>
          <w:rFonts w:eastAsiaTheme="majorEastAsia" w:cstheme="majorBidi"/>
          <w:bCs/>
          <w:color w:val="000000" w:themeColor="text1"/>
          <w:lang w:val="en-US"/>
        </w:rPr>
        <w:t>the use of organoid culture systems in studying intestinal disease and development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04067570" w14:textId="78B8E6E2" w:rsidR="007455CC" w:rsidRPr="005C3CF5" w:rsidRDefault="00C24BA9" w:rsidP="00B76BA2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describe the </w:t>
      </w:r>
      <w:r w:rsidR="007455CC" w:rsidRPr="005C3CF5">
        <w:rPr>
          <w:rFonts w:eastAsiaTheme="majorEastAsia" w:cstheme="majorBidi"/>
          <w:bCs/>
          <w:color w:val="000000" w:themeColor="text1"/>
          <w:lang w:val="en-US"/>
        </w:rPr>
        <w:t xml:space="preserve">metabolic processes in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the </w:t>
      </w:r>
      <w:r w:rsidR="007455CC" w:rsidRPr="005C3CF5">
        <w:rPr>
          <w:rFonts w:eastAsiaTheme="majorEastAsia" w:cstheme="majorBidi"/>
          <w:bCs/>
          <w:color w:val="000000" w:themeColor="text1"/>
          <w:lang w:val="en-US"/>
        </w:rPr>
        <w:t xml:space="preserve">intestine and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the </w:t>
      </w:r>
      <w:r w:rsidR="007455CC" w:rsidRPr="005C3CF5">
        <w:rPr>
          <w:rFonts w:eastAsiaTheme="majorEastAsia" w:cstheme="majorBidi"/>
          <w:bCs/>
          <w:color w:val="000000" w:themeColor="text1"/>
          <w:lang w:val="en-US"/>
        </w:rPr>
        <w:t>liver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4887F151" w14:textId="3B546B67" w:rsidR="008D4E92" w:rsidRPr="005C3CF5" w:rsidRDefault="00DC483F" w:rsidP="005C3CF5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give 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an overview of (common) liver pathology </w:t>
      </w:r>
      <w:r w:rsidR="00C24BA9">
        <w:rPr>
          <w:rFonts w:eastAsiaTheme="majorEastAsia" w:cstheme="majorBidi"/>
          <w:bCs/>
          <w:color w:val="000000" w:themeColor="text1"/>
          <w:lang w:val="en-US"/>
        </w:rPr>
        <w:t xml:space="preserve">and </w:t>
      </w:r>
      <w:r w:rsidR="00C24BA9" w:rsidRPr="005C3CF5">
        <w:rPr>
          <w:rFonts w:eastAsiaTheme="majorEastAsia" w:cstheme="majorBidi"/>
          <w:bCs/>
          <w:color w:val="000000" w:themeColor="text1"/>
          <w:lang w:val="en-US"/>
        </w:rPr>
        <w:t xml:space="preserve">(common) </w:t>
      </w:r>
      <w:r w:rsidR="004C555B" w:rsidRPr="005C3CF5">
        <w:rPr>
          <w:rFonts w:eastAsiaTheme="majorEastAsia" w:cstheme="majorBidi"/>
          <w:bCs/>
          <w:color w:val="000000" w:themeColor="text1"/>
          <w:lang w:val="en-US"/>
        </w:rPr>
        <w:t>hepatobiliary</w:t>
      </w:r>
      <w:r w:rsidR="00C24BA9" w:rsidRPr="005C3CF5">
        <w:rPr>
          <w:rFonts w:eastAsiaTheme="majorEastAsia" w:cstheme="majorBidi"/>
          <w:bCs/>
          <w:color w:val="000000" w:themeColor="text1"/>
          <w:lang w:val="en-US"/>
        </w:rPr>
        <w:t xml:space="preserve"> pathology</w:t>
      </w:r>
      <w:r w:rsidR="00C24BA9">
        <w:rPr>
          <w:rFonts w:eastAsiaTheme="majorEastAsia" w:cstheme="majorBidi"/>
          <w:bCs/>
          <w:color w:val="000000" w:themeColor="text1"/>
          <w:lang w:val="en-US"/>
        </w:rPr>
        <w:t xml:space="preserve">, 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and </w:t>
      </w:r>
      <w:r w:rsidR="008B7847"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>the</w:t>
      </w:r>
      <w:r w:rsidR="00C24BA9">
        <w:rPr>
          <w:rFonts w:eastAsiaTheme="majorEastAsia" w:cstheme="majorBidi"/>
          <w:bCs/>
          <w:color w:val="000000" w:themeColor="text1"/>
          <w:lang w:val="en-US"/>
        </w:rPr>
        <w:t>ir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 biological mechanisms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 </w:t>
      </w:r>
    </w:p>
    <w:p w14:paraId="425B449C" w14:textId="0B352911" w:rsidR="008D4E92" w:rsidRPr="005C3CF5" w:rsidRDefault="008B7847" w:rsidP="005C3CF5">
      <w:pPr>
        <w:pStyle w:val="Lijstalinea"/>
        <w:numPr>
          <w:ilvl w:val="0"/>
          <w:numId w:val="6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>describe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 IBD pathology from a </w:t>
      </w:r>
      <w:r w:rsidR="00632EEE">
        <w:rPr>
          <w:rFonts w:eastAsiaTheme="majorEastAsia" w:cstheme="majorBidi"/>
          <w:bCs/>
          <w:color w:val="000000" w:themeColor="text1"/>
          <w:lang w:val="en-US"/>
        </w:rPr>
        <w:t>clin</w:t>
      </w:r>
      <w:r w:rsidR="000F5D77">
        <w:rPr>
          <w:rFonts w:eastAsiaTheme="majorEastAsia" w:cstheme="majorBidi"/>
          <w:bCs/>
          <w:color w:val="000000" w:themeColor="text1"/>
          <w:lang w:val="en-US"/>
        </w:rPr>
        <w:t>i</w:t>
      </w:r>
      <w:r w:rsidR="00632EEE">
        <w:rPr>
          <w:rFonts w:eastAsiaTheme="majorEastAsia" w:cstheme="majorBidi"/>
          <w:bCs/>
          <w:color w:val="000000" w:themeColor="text1"/>
          <w:lang w:val="en-US"/>
        </w:rPr>
        <w:t>cal</w:t>
      </w:r>
      <w:r w:rsidR="008D4E92" w:rsidRPr="005C3CF5">
        <w:rPr>
          <w:rFonts w:eastAsiaTheme="majorEastAsia" w:cstheme="majorBidi"/>
          <w:bCs/>
          <w:color w:val="000000" w:themeColor="text1"/>
          <w:lang w:val="en-US"/>
        </w:rPr>
        <w:t xml:space="preserve"> perspective</w:t>
      </w:r>
      <w:r w:rsidR="00B76BA2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5A0765C6" w14:textId="77777777" w:rsidR="008D4E92" w:rsidRPr="005C3CF5" w:rsidRDefault="008D4E92" w:rsidP="005C3CF5">
      <w:pPr>
        <w:spacing w:after="0"/>
        <w:jc w:val="both"/>
        <w:rPr>
          <w:rFonts w:eastAsiaTheme="majorEastAsia" w:cstheme="majorBidi"/>
          <w:bCs/>
          <w:i/>
          <w:color w:val="000000" w:themeColor="text1"/>
        </w:rPr>
      </w:pPr>
    </w:p>
    <w:p w14:paraId="4B4CFD2F" w14:textId="77777777" w:rsidR="00C445EC" w:rsidRPr="005C3CF5" w:rsidRDefault="00C445EC" w:rsidP="005C3CF5">
      <w:pPr>
        <w:spacing w:after="0"/>
        <w:jc w:val="both"/>
        <w:rPr>
          <w:color w:val="000000" w:themeColor="text1"/>
        </w:rPr>
      </w:pPr>
    </w:p>
    <w:sectPr w:rsidR="00C445EC" w:rsidRPr="005C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A27"/>
    <w:multiLevelType w:val="hybridMultilevel"/>
    <w:tmpl w:val="B4D4AAF8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E43"/>
    <w:multiLevelType w:val="hybridMultilevel"/>
    <w:tmpl w:val="E1B68134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229C"/>
    <w:multiLevelType w:val="hybridMultilevel"/>
    <w:tmpl w:val="EE1087FA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6315"/>
    <w:multiLevelType w:val="hybridMultilevel"/>
    <w:tmpl w:val="B89E0AFA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7BF4"/>
    <w:multiLevelType w:val="hybridMultilevel"/>
    <w:tmpl w:val="C21AF3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32E1"/>
    <w:multiLevelType w:val="hybridMultilevel"/>
    <w:tmpl w:val="428C5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F117B"/>
    <w:multiLevelType w:val="hybridMultilevel"/>
    <w:tmpl w:val="BEF42FEE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4D78"/>
    <w:multiLevelType w:val="hybridMultilevel"/>
    <w:tmpl w:val="58E0E03E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56C5"/>
    <w:multiLevelType w:val="hybridMultilevel"/>
    <w:tmpl w:val="1D26B3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30A7D"/>
    <w:multiLevelType w:val="hybridMultilevel"/>
    <w:tmpl w:val="16CA90F6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52FC3"/>
    <w:multiLevelType w:val="multilevel"/>
    <w:tmpl w:val="46547F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5584C"/>
    <w:multiLevelType w:val="hybridMultilevel"/>
    <w:tmpl w:val="41C6CD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D1BDC"/>
    <w:multiLevelType w:val="hybridMultilevel"/>
    <w:tmpl w:val="FDEE1D64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5985">
    <w:abstractNumId w:val="8"/>
  </w:num>
  <w:num w:numId="2" w16cid:durableId="1359240621">
    <w:abstractNumId w:val="11"/>
  </w:num>
  <w:num w:numId="3" w16cid:durableId="623073789">
    <w:abstractNumId w:val="10"/>
  </w:num>
  <w:num w:numId="4" w16cid:durableId="1953433974">
    <w:abstractNumId w:val="4"/>
  </w:num>
  <w:num w:numId="5" w16cid:durableId="458450936">
    <w:abstractNumId w:val="5"/>
  </w:num>
  <w:num w:numId="6" w16cid:durableId="1303654545">
    <w:abstractNumId w:val="6"/>
  </w:num>
  <w:num w:numId="7" w16cid:durableId="373624327">
    <w:abstractNumId w:val="3"/>
  </w:num>
  <w:num w:numId="8" w16cid:durableId="1339308038">
    <w:abstractNumId w:val="9"/>
  </w:num>
  <w:num w:numId="9" w16cid:durableId="1070955702">
    <w:abstractNumId w:val="7"/>
  </w:num>
  <w:num w:numId="10" w16cid:durableId="1304506381">
    <w:abstractNumId w:val="0"/>
  </w:num>
  <w:num w:numId="11" w16cid:durableId="1314018187">
    <w:abstractNumId w:val="12"/>
  </w:num>
  <w:num w:numId="12" w16cid:durableId="1998920973">
    <w:abstractNumId w:val="1"/>
  </w:num>
  <w:num w:numId="13" w16cid:durableId="80474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EC"/>
    <w:rsid w:val="00065C05"/>
    <w:rsid w:val="00067622"/>
    <w:rsid w:val="000A0B25"/>
    <w:rsid w:val="000F5D77"/>
    <w:rsid w:val="00132275"/>
    <w:rsid w:val="0020466D"/>
    <w:rsid w:val="00241DF4"/>
    <w:rsid w:val="002A0F15"/>
    <w:rsid w:val="002A5D07"/>
    <w:rsid w:val="002D0F23"/>
    <w:rsid w:val="003125B6"/>
    <w:rsid w:val="00387CEF"/>
    <w:rsid w:val="003A4925"/>
    <w:rsid w:val="0046463F"/>
    <w:rsid w:val="0048327B"/>
    <w:rsid w:val="004B4FCE"/>
    <w:rsid w:val="004B701C"/>
    <w:rsid w:val="004C555B"/>
    <w:rsid w:val="004E246C"/>
    <w:rsid w:val="00516B13"/>
    <w:rsid w:val="005531C1"/>
    <w:rsid w:val="005C3CF5"/>
    <w:rsid w:val="005C4A9E"/>
    <w:rsid w:val="00632EEE"/>
    <w:rsid w:val="00640E3A"/>
    <w:rsid w:val="007455CC"/>
    <w:rsid w:val="00761432"/>
    <w:rsid w:val="007B2878"/>
    <w:rsid w:val="007B2E46"/>
    <w:rsid w:val="008B7847"/>
    <w:rsid w:val="008D4E92"/>
    <w:rsid w:val="008D7640"/>
    <w:rsid w:val="009166D9"/>
    <w:rsid w:val="009316BB"/>
    <w:rsid w:val="00A300AE"/>
    <w:rsid w:val="00A937CD"/>
    <w:rsid w:val="00AB71ED"/>
    <w:rsid w:val="00B7224A"/>
    <w:rsid w:val="00B76BA2"/>
    <w:rsid w:val="00BC2BCF"/>
    <w:rsid w:val="00BC4A2D"/>
    <w:rsid w:val="00C24BA9"/>
    <w:rsid w:val="00C445EC"/>
    <w:rsid w:val="00C527C1"/>
    <w:rsid w:val="00C669FA"/>
    <w:rsid w:val="00D01BA1"/>
    <w:rsid w:val="00D63D99"/>
    <w:rsid w:val="00DC483F"/>
    <w:rsid w:val="00E61CFD"/>
    <w:rsid w:val="00E62DA2"/>
    <w:rsid w:val="00EE6786"/>
    <w:rsid w:val="00F150CB"/>
    <w:rsid w:val="00F22B75"/>
    <w:rsid w:val="00F422E5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6AD1"/>
  <w15:chartTrackingRefBased/>
  <w15:docId w15:val="{021A6AF2-498F-4DA1-9CF3-B9636EA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45EC"/>
    <w:pPr>
      <w:ind w:left="720"/>
      <w:contextualSpacing/>
    </w:pPr>
    <w:rPr>
      <w:rFonts w:ascii="Calibri" w:eastAsia="Calibri" w:hAnsi="Calibri" w:cs="Times New Roman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0E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40E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0E3A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0E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0E3A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0E3A"/>
    <w:rPr>
      <w:rFonts w:ascii="Segoe UI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065C05"/>
    <w:pPr>
      <w:spacing w:after="0" w:line="240" w:lineRule="auto"/>
    </w:pPr>
    <w:rPr>
      <w:lang w:val="en-US"/>
    </w:rPr>
  </w:style>
  <w:style w:type="character" w:customStyle="1" w:styleId="cf01">
    <w:name w:val="cf01"/>
    <w:basedOn w:val="Standaardalinea-lettertype"/>
    <w:rsid w:val="00DC483F"/>
    <w:rPr>
      <w:rFonts w:ascii="Segoe UI" w:hAnsi="Segoe UI" w:cs="Segoe UI" w:hint="default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A4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49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B7B4-DE69-4040-853B-248E8652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Dirkx-Beuling, E.</dc:creator>
  <cp:keywords/>
  <dc:description/>
  <cp:lastModifiedBy>Dirkx - Beuling, E. (Eva)</cp:lastModifiedBy>
  <cp:revision>2</cp:revision>
  <dcterms:created xsi:type="dcterms:W3CDTF">2024-09-11T07:59:00Z</dcterms:created>
  <dcterms:modified xsi:type="dcterms:W3CDTF">2024-09-11T07:59:00Z</dcterms:modified>
</cp:coreProperties>
</file>