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19CA" w14:textId="51640174" w:rsidR="00000000" w:rsidRPr="005A0C7A" w:rsidRDefault="005A0C7A">
      <w:pPr>
        <w:rPr>
          <w:b/>
          <w:sz w:val="22"/>
          <w:szCs w:val="22"/>
        </w:rPr>
      </w:pPr>
      <w:r w:rsidRPr="005A0C7A">
        <w:rPr>
          <w:b/>
          <w:sz w:val="22"/>
          <w:szCs w:val="22"/>
        </w:rPr>
        <w:t>CANDIDATE Center – GUIDELINES</w:t>
      </w:r>
    </w:p>
    <w:p w14:paraId="24DB92B3" w14:textId="0498AB57" w:rsidR="005A0C7A" w:rsidRPr="005A0C7A" w:rsidRDefault="005A0C7A">
      <w:pPr>
        <w:rPr>
          <w:sz w:val="22"/>
          <w:szCs w:val="22"/>
        </w:rPr>
      </w:pPr>
    </w:p>
    <w:p w14:paraId="6FF1E72B" w14:textId="579ADD41" w:rsidR="005A0C7A" w:rsidRPr="005A0C7A" w:rsidRDefault="005A0C7A">
      <w:pPr>
        <w:rPr>
          <w:i/>
          <w:sz w:val="22"/>
          <w:szCs w:val="22"/>
        </w:rPr>
      </w:pPr>
      <w:r w:rsidRPr="005A0C7A">
        <w:rPr>
          <w:i/>
          <w:sz w:val="22"/>
          <w:szCs w:val="22"/>
        </w:rPr>
        <w:t>General</w:t>
      </w:r>
    </w:p>
    <w:p w14:paraId="44CCD08A" w14:textId="0C18BA6B" w:rsidR="005A0C7A" w:rsidRPr="005A0C7A" w:rsidRDefault="005A0C7A" w:rsidP="00CD2DB7">
      <w:pPr>
        <w:rPr>
          <w:sz w:val="22"/>
          <w:szCs w:val="22"/>
        </w:rPr>
      </w:pPr>
      <w:r w:rsidRPr="005A0C7A">
        <w:rPr>
          <w:sz w:val="22"/>
          <w:szCs w:val="22"/>
        </w:rPr>
        <w:t>The CANDIDAT</w:t>
      </w:r>
      <w:r w:rsidR="003D45D5">
        <w:rPr>
          <w:sz w:val="22"/>
          <w:szCs w:val="22"/>
        </w:rPr>
        <w:t>E</w:t>
      </w:r>
      <w:r w:rsidRPr="005A0C7A">
        <w:rPr>
          <w:sz w:val="22"/>
          <w:szCs w:val="22"/>
        </w:rPr>
        <w:t xml:space="preserve"> Center operates as </w:t>
      </w:r>
      <w:r w:rsidR="001E4A80">
        <w:rPr>
          <w:sz w:val="22"/>
          <w:szCs w:val="22"/>
        </w:rPr>
        <w:t>a translational drug development unit within Amsterdam Neuroscience</w:t>
      </w:r>
      <w:r w:rsidRPr="005A0C7A">
        <w:rPr>
          <w:sz w:val="22"/>
          <w:szCs w:val="22"/>
        </w:rPr>
        <w:t xml:space="preserve">, accessible to all principal investigators within Amsterdam Neuroscience. The center provides expertise and facilities for </w:t>
      </w:r>
      <w:r w:rsidR="000F517E">
        <w:rPr>
          <w:sz w:val="22"/>
          <w:szCs w:val="22"/>
        </w:rPr>
        <w:t xml:space="preserve">target discovery and </w:t>
      </w:r>
      <w:r w:rsidRPr="005A0C7A">
        <w:rPr>
          <w:sz w:val="22"/>
          <w:szCs w:val="22"/>
        </w:rPr>
        <w:t xml:space="preserve">drug development for CNS indications. </w:t>
      </w:r>
      <w:r>
        <w:rPr>
          <w:sz w:val="22"/>
          <w:szCs w:val="22"/>
        </w:rPr>
        <w:t xml:space="preserve">Investigators can approach the CANDIDATE Center with ideas </w:t>
      </w:r>
      <w:r w:rsidR="000F517E">
        <w:rPr>
          <w:sz w:val="22"/>
          <w:szCs w:val="22"/>
        </w:rPr>
        <w:t>about</w:t>
      </w:r>
      <w:r>
        <w:rPr>
          <w:sz w:val="22"/>
          <w:szCs w:val="22"/>
        </w:rPr>
        <w:t xml:space="preserve"> disease mechanisms or </w:t>
      </w:r>
      <w:r w:rsidR="000F517E">
        <w:rPr>
          <w:sz w:val="22"/>
          <w:szCs w:val="22"/>
        </w:rPr>
        <w:t xml:space="preserve">model systems </w:t>
      </w:r>
      <w:r>
        <w:rPr>
          <w:sz w:val="22"/>
          <w:szCs w:val="22"/>
        </w:rPr>
        <w:t xml:space="preserve">that can be a starting point for a </w:t>
      </w:r>
      <w:r w:rsidR="001E4A80">
        <w:rPr>
          <w:sz w:val="22"/>
          <w:szCs w:val="22"/>
        </w:rPr>
        <w:t xml:space="preserve">screening and </w:t>
      </w:r>
      <w:r>
        <w:rPr>
          <w:sz w:val="22"/>
          <w:szCs w:val="22"/>
        </w:rPr>
        <w:t xml:space="preserve">drug development effort. Depending on the project, a target discovery/validation effort is initiated or </w:t>
      </w:r>
      <w:r w:rsidR="00A054A7">
        <w:rPr>
          <w:sz w:val="22"/>
          <w:szCs w:val="22"/>
        </w:rPr>
        <w:t xml:space="preserve">a </w:t>
      </w:r>
      <w:r>
        <w:rPr>
          <w:sz w:val="22"/>
          <w:szCs w:val="22"/>
        </w:rPr>
        <w:t>drug screen will be developed.</w:t>
      </w:r>
      <w:r w:rsidR="00A054A7">
        <w:rPr>
          <w:sz w:val="22"/>
          <w:szCs w:val="22"/>
        </w:rPr>
        <w:t xml:space="preserve"> This will entail</w:t>
      </w:r>
      <w:r w:rsidR="00CD2DB7" w:rsidRPr="00CD2DB7">
        <w:rPr>
          <w:sz w:val="22"/>
          <w:szCs w:val="22"/>
        </w:rPr>
        <w:t xml:space="preserve"> genetic CRISPR screens to identify</w:t>
      </w:r>
      <w:r w:rsidR="00A054A7">
        <w:rPr>
          <w:sz w:val="22"/>
          <w:szCs w:val="22"/>
        </w:rPr>
        <w:t xml:space="preserve"> </w:t>
      </w:r>
      <w:r w:rsidR="00CD2DB7" w:rsidRPr="00CD2DB7">
        <w:rPr>
          <w:sz w:val="22"/>
          <w:szCs w:val="22"/>
        </w:rPr>
        <w:t xml:space="preserve">novel targets for a phenotype of interest, </w:t>
      </w:r>
      <w:r w:rsidR="00A054A7">
        <w:rPr>
          <w:sz w:val="22"/>
          <w:szCs w:val="22"/>
        </w:rPr>
        <w:t>or</w:t>
      </w:r>
      <w:r w:rsidR="00CD2DB7" w:rsidRPr="00CD2DB7">
        <w:rPr>
          <w:sz w:val="22"/>
          <w:szCs w:val="22"/>
        </w:rPr>
        <w:t xml:space="preserve"> the design, optimization and execution of drug screens using enzymatic assays.</w:t>
      </w:r>
      <w:r w:rsidR="00A054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 w:rsidR="000F517E">
        <w:rPr>
          <w:sz w:val="22"/>
          <w:szCs w:val="22"/>
        </w:rPr>
        <w:t>ultimate</w:t>
      </w:r>
      <w:r>
        <w:rPr>
          <w:sz w:val="22"/>
          <w:szCs w:val="22"/>
        </w:rPr>
        <w:t xml:space="preserve"> goal of these efforts is to jointly generate novel composition of matter intellectual property, i.e. drugs. </w:t>
      </w:r>
      <w:r w:rsidR="00653A3D">
        <w:rPr>
          <w:sz w:val="22"/>
          <w:szCs w:val="22"/>
        </w:rPr>
        <w:t>Additionally, with every project an effort for the development of a companion diagnostic is started.</w:t>
      </w:r>
    </w:p>
    <w:p w14:paraId="4C865EEF" w14:textId="59F4D95B" w:rsidR="005A0C7A" w:rsidRPr="005A0C7A" w:rsidRDefault="005A0C7A">
      <w:pPr>
        <w:rPr>
          <w:sz w:val="22"/>
          <w:szCs w:val="22"/>
        </w:rPr>
      </w:pPr>
    </w:p>
    <w:p w14:paraId="21434C6E" w14:textId="3B82BB73" w:rsidR="005A0C7A" w:rsidRPr="005A0C7A" w:rsidRDefault="005A0C7A">
      <w:pPr>
        <w:rPr>
          <w:i/>
          <w:sz w:val="22"/>
          <w:szCs w:val="22"/>
        </w:rPr>
      </w:pPr>
      <w:r w:rsidRPr="005A0C7A">
        <w:rPr>
          <w:i/>
          <w:sz w:val="22"/>
          <w:szCs w:val="22"/>
        </w:rPr>
        <w:t>Selection of projects</w:t>
      </w:r>
    </w:p>
    <w:p w14:paraId="12734134" w14:textId="2BB4638E" w:rsidR="007B72AC" w:rsidRDefault="003D45D5">
      <w:pPr>
        <w:rPr>
          <w:sz w:val="22"/>
          <w:szCs w:val="22"/>
        </w:rPr>
      </w:pPr>
      <w:r>
        <w:rPr>
          <w:sz w:val="22"/>
          <w:szCs w:val="22"/>
        </w:rPr>
        <w:t xml:space="preserve">The CANDIDATE Center will continuously scout, and can always be contacted for, new projects. Once every six months, two new projects are selected to be started as a collaboration between the involved principal investigator(s) and the CANDIDATE Center. </w:t>
      </w:r>
      <w:r w:rsidR="007B72AC">
        <w:rPr>
          <w:sz w:val="22"/>
          <w:szCs w:val="22"/>
        </w:rPr>
        <w:t xml:space="preserve">Selection is done </w:t>
      </w:r>
      <w:r w:rsidR="000F517E">
        <w:rPr>
          <w:sz w:val="22"/>
          <w:szCs w:val="22"/>
        </w:rPr>
        <w:t>at</w:t>
      </w:r>
      <w:r w:rsidR="007B72AC">
        <w:rPr>
          <w:sz w:val="22"/>
          <w:szCs w:val="22"/>
        </w:rPr>
        <w:t xml:space="preserve"> a joined meeting between the CANDIDATE Center Management Team and the Advisory Board consisting of the directors of Amsterdam Neuroscience. </w:t>
      </w:r>
    </w:p>
    <w:p w14:paraId="513DFA9C" w14:textId="672F08D8" w:rsidR="005A0C7A" w:rsidRDefault="00653A3D">
      <w:pPr>
        <w:rPr>
          <w:sz w:val="22"/>
          <w:szCs w:val="22"/>
        </w:rPr>
      </w:pPr>
      <w:r>
        <w:rPr>
          <w:sz w:val="22"/>
          <w:szCs w:val="22"/>
        </w:rPr>
        <w:t xml:space="preserve">Projects to be initiated at the CANDIDATE Center are selected on the following eligibility criteria: </w:t>
      </w:r>
    </w:p>
    <w:p w14:paraId="539C9403" w14:textId="60FAF43D" w:rsidR="00653A3D" w:rsidRDefault="00653A3D" w:rsidP="00653A3D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There should be substantial scientific rationale on a specific target or disease pathway in relation to disease etiology or pathology. </w:t>
      </w:r>
    </w:p>
    <w:p w14:paraId="1678C033" w14:textId="1AB6BD53" w:rsidR="00653A3D" w:rsidRDefault="00653A3D" w:rsidP="00653A3D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Preferably there is a genetic link between </w:t>
      </w:r>
      <w:r w:rsidR="00475935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target/pathway and the disease. </w:t>
      </w:r>
    </w:p>
    <w:p w14:paraId="6F89DF6F" w14:textId="22ADE9F6" w:rsidR="003D45D5" w:rsidRDefault="003D45D5" w:rsidP="00653A3D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higher the technology readiness level, the better.</w:t>
      </w:r>
    </w:p>
    <w:p w14:paraId="297541C0" w14:textId="47517B73" w:rsidR="00653A3D" w:rsidRDefault="00653A3D" w:rsidP="00653A3D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 rationale for the development of a companion diagnostic/biomarker related to </w:t>
      </w:r>
      <w:r w:rsidR="00A054A7">
        <w:rPr>
          <w:sz w:val="22"/>
          <w:szCs w:val="22"/>
        </w:rPr>
        <w:t>a</w:t>
      </w:r>
      <w:r>
        <w:rPr>
          <w:sz w:val="22"/>
          <w:szCs w:val="22"/>
        </w:rPr>
        <w:t xml:space="preserve"> target is preferred. </w:t>
      </w:r>
    </w:p>
    <w:p w14:paraId="7B3DD795" w14:textId="30B965DA" w:rsidR="00653A3D" w:rsidRDefault="00653A3D" w:rsidP="00653A3D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 project should, in the end, lead to composition of matter IP that is patentable. </w:t>
      </w:r>
    </w:p>
    <w:p w14:paraId="53852B8B" w14:textId="4409E8CA" w:rsidR="00653A3D" w:rsidRDefault="00653A3D" w:rsidP="00653A3D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project IP should be commercially viable and suitable for out</w:t>
      </w:r>
      <w:r w:rsidR="00475935">
        <w:rPr>
          <w:sz w:val="22"/>
          <w:szCs w:val="22"/>
        </w:rPr>
        <w:t>-</w:t>
      </w:r>
      <w:r>
        <w:rPr>
          <w:sz w:val="22"/>
          <w:szCs w:val="22"/>
        </w:rPr>
        <w:t xml:space="preserve">licensing or spin-off. </w:t>
      </w:r>
    </w:p>
    <w:p w14:paraId="17A8D80D" w14:textId="0CBF1EFC" w:rsidR="00F65B57" w:rsidRPr="00653A3D" w:rsidRDefault="003D45D5" w:rsidP="00653A3D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An analysis of the competitive landscape will be made; there should be an unmet medical need and potential for marketing of the new drug. </w:t>
      </w:r>
    </w:p>
    <w:p w14:paraId="43EFFEC1" w14:textId="2ED46C83" w:rsidR="005A0C7A" w:rsidRDefault="00653A3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5C1139B" w14:textId="33CB6262" w:rsidR="005A0C7A" w:rsidRPr="005A0C7A" w:rsidRDefault="005A0C7A">
      <w:pPr>
        <w:rPr>
          <w:i/>
          <w:sz w:val="22"/>
          <w:szCs w:val="22"/>
        </w:rPr>
      </w:pPr>
      <w:r w:rsidRPr="005A0C7A">
        <w:rPr>
          <w:i/>
          <w:sz w:val="22"/>
          <w:szCs w:val="22"/>
        </w:rPr>
        <w:t>Funding of projects</w:t>
      </w:r>
    </w:p>
    <w:p w14:paraId="4024D29B" w14:textId="31D6314D" w:rsidR="005A0C7A" w:rsidRDefault="005A0C7A">
      <w:pPr>
        <w:rPr>
          <w:sz w:val="22"/>
          <w:szCs w:val="22"/>
        </w:rPr>
      </w:pPr>
      <w:r>
        <w:rPr>
          <w:sz w:val="22"/>
          <w:szCs w:val="22"/>
        </w:rPr>
        <w:t xml:space="preserve">The CANDIDATE Center has limited funds in place and is continuously working to expand these funds. With these funds there is capacity to design new </w:t>
      </w:r>
      <w:r w:rsidR="003D45D5">
        <w:rPr>
          <w:sz w:val="22"/>
          <w:szCs w:val="22"/>
        </w:rPr>
        <w:t xml:space="preserve">screens and </w:t>
      </w:r>
      <w:r>
        <w:rPr>
          <w:sz w:val="22"/>
          <w:szCs w:val="22"/>
        </w:rPr>
        <w:t xml:space="preserve">drug development projects and to initiate a </w:t>
      </w:r>
      <w:r w:rsidR="00072BDE">
        <w:rPr>
          <w:sz w:val="22"/>
          <w:szCs w:val="22"/>
        </w:rPr>
        <w:t>selected</w:t>
      </w:r>
      <w:r>
        <w:rPr>
          <w:sz w:val="22"/>
          <w:szCs w:val="22"/>
        </w:rPr>
        <w:t xml:space="preserve"> set of projects in the lab</w:t>
      </w:r>
      <w:r w:rsidR="001E4A80">
        <w:rPr>
          <w:sz w:val="22"/>
          <w:szCs w:val="22"/>
        </w:rPr>
        <w:t>, as described above</w:t>
      </w:r>
      <w:r>
        <w:rPr>
          <w:sz w:val="22"/>
          <w:szCs w:val="22"/>
        </w:rPr>
        <w:t xml:space="preserve">. Projects found to be eligible but outside the scope of the current funding can be </w:t>
      </w:r>
      <w:r w:rsidR="00072BDE">
        <w:rPr>
          <w:sz w:val="22"/>
          <w:szCs w:val="22"/>
        </w:rPr>
        <w:t xml:space="preserve">jointly </w:t>
      </w:r>
      <w:r>
        <w:rPr>
          <w:sz w:val="22"/>
          <w:szCs w:val="22"/>
        </w:rPr>
        <w:t>financed through the following routes:</w:t>
      </w:r>
    </w:p>
    <w:p w14:paraId="2E263B9B" w14:textId="5083887E" w:rsidR="005A0C7A" w:rsidRDefault="005A0C7A" w:rsidP="005A0C7A">
      <w:pPr>
        <w:pStyle w:val="Lijstaline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Joint grants can be applied for between the respective investigator and the CANDIDATE Center. Under this grant the CANDIDATE Center</w:t>
      </w:r>
      <w:r w:rsidRPr="005A0C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can </w:t>
      </w:r>
      <w:r w:rsidR="00072BDE">
        <w:rPr>
          <w:sz w:val="22"/>
          <w:szCs w:val="22"/>
        </w:rPr>
        <w:t xml:space="preserve">write and </w:t>
      </w:r>
      <w:r>
        <w:rPr>
          <w:sz w:val="22"/>
          <w:szCs w:val="22"/>
        </w:rPr>
        <w:t xml:space="preserve">take responsibility for the drug development and valorization work packages. </w:t>
      </w:r>
    </w:p>
    <w:p w14:paraId="773210A8" w14:textId="74F41988" w:rsidR="005A0C7A" w:rsidRPr="005A0C7A" w:rsidRDefault="005A0C7A" w:rsidP="005A0C7A">
      <w:pPr>
        <w:pStyle w:val="Lijstaline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CANDIDATE Center has an extensive industry network and there is substantial interest from industry to sponsor projects. Depending to stage of the project these can be sponsored in a precompetitive proof of concept manner, or sponsored under research agreements. </w:t>
      </w:r>
      <w:r w:rsidR="00072BDE">
        <w:rPr>
          <w:sz w:val="22"/>
          <w:szCs w:val="22"/>
        </w:rPr>
        <w:t xml:space="preserve">Within the CANDIDATE center there is ample expertise negotiating these agreements. </w:t>
      </w:r>
      <w:r>
        <w:rPr>
          <w:sz w:val="22"/>
          <w:szCs w:val="22"/>
        </w:rPr>
        <w:t xml:space="preserve">  </w:t>
      </w:r>
    </w:p>
    <w:p w14:paraId="4D2C154E" w14:textId="4345C16F" w:rsidR="005A0C7A" w:rsidRDefault="005A0C7A">
      <w:pPr>
        <w:rPr>
          <w:sz w:val="22"/>
          <w:szCs w:val="22"/>
        </w:rPr>
      </w:pPr>
    </w:p>
    <w:p w14:paraId="661A9471" w14:textId="5CAABAA7" w:rsidR="00072BDE" w:rsidRPr="00072BDE" w:rsidRDefault="00072BDE">
      <w:pPr>
        <w:rPr>
          <w:i/>
          <w:sz w:val="22"/>
          <w:szCs w:val="22"/>
        </w:rPr>
      </w:pPr>
      <w:r w:rsidRPr="00072BDE">
        <w:rPr>
          <w:i/>
          <w:sz w:val="22"/>
          <w:szCs w:val="22"/>
        </w:rPr>
        <w:t>Intellectual property</w:t>
      </w:r>
    </w:p>
    <w:p w14:paraId="44852769" w14:textId="425BF968" w:rsidR="00072BDE" w:rsidRDefault="00072BDE">
      <w:pPr>
        <w:rPr>
          <w:sz w:val="22"/>
          <w:szCs w:val="22"/>
        </w:rPr>
      </w:pPr>
      <w:r>
        <w:rPr>
          <w:sz w:val="22"/>
          <w:szCs w:val="22"/>
        </w:rPr>
        <w:t>Projects to be initiated will always be a collaboration between the CANDIDATE Center and a principal investigator within Amsterdam Neuroscience</w:t>
      </w:r>
      <w:r w:rsidR="00D14440">
        <w:rPr>
          <w:sz w:val="22"/>
          <w:szCs w:val="22"/>
        </w:rPr>
        <w:t xml:space="preserve">; these investigators can be employed at VU, </w:t>
      </w:r>
      <w:proofErr w:type="spellStart"/>
      <w:r w:rsidR="00D14440">
        <w:rPr>
          <w:sz w:val="22"/>
          <w:szCs w:val="22"/>
        </w:rPr>
        <w:t>UvA</w:t>
      </w:r>
      <w:proofErr w:type="spellEnd"/>
      <w:r w:rsidR="00D14440">
        <w:rPr>
          <w:sz w:val="22"/>
          <w:szCs w:val="22"/>
        </w:rPr>
        <w:t>, or Amsterdam UMC</w:t>
      </w:r>
      <w:r>
        <w:rPr>
          <w:sz w:val="22"/>
          <w:szCs w:val="22"/>
        </w:rPr>
        <w:t xml:space="preserve">. </w:t>
      </w:r>
      <w:r w:rsidR="000F517E">
        <w:rPr>
          <w:sz w:val="22"/>
          <w:szCs w:val="22"/>
        </w:rPr>
        <w:t>Be</w:t>
      </w:r>
      <w:r>
        <w:rPr>
          <w:sz w:val="22"/>
          <w:szCs w:val="22"/>
        </w:rPr>
        <w:t>forehand, for every project a plan will be drafted o</w:t>
      </w:r>
      <w:r w:rsidR="00D14440">
        <w:rPr>
          <w:sz w:val="22"/>
          <w:szCs w:val="22"/>
        </w:rPr>
        <w:t>n</w:t>
      </w:r>
      <w:r>
        <w:rPr>
          <w:sz w:val="22"/>
          <w:szCs w:val="22"/>
        </w:rPr>
        <w:t xml:space="preserve"> the screening efforts </w:t>
      </w:r>
      <w:r w:rsidR="00D14440">
        <w:rPr>
          <w:sz w:val="22"/>
          <w:szCs w:val="22"/>
        </w:rPr>
        <w:t xml:space="preserve">and </w:t>
      </w:r>
      <w:r w:rsidR="00B87760">
        <w:rPr>
          <w:sz w:val="22"/>
          <w:szCs w:val="22"/>
        </w:rPr>
        <w:t>other</w:t>
      </w:r>
      <w:r w:rsidR="00D14440">
        <w:rPr>
          <w:sz w:val="22"/>
          <w:szCs w:val="22"/>
        </w:rPr>
        <w:t xml:space="preserve"> experiments </w:t>
      </w:r>
      <w:r>
        <w:rPr>
          <w:sz w:val="22"/>
          <w:szCs w:val="22"/>
        </w:rPr>
        <w:t>to be performed</w:t>
      </w:r>
      <w:r w:rsidR="00D14440">
        <w:rPr>
          <w:sz w:val="22"/>
          <w:szCs w:val="22"/>
        </w:rPr>
        <w:t xml:space="preserve">. </w:t>
      </w:r>
      <w:r w:rsidR="003D45D5">
        <w:rPr>
          <w:sz w:val="22"/>
          <w:szCs w:val="22"/>
        </w:rPr>
        <w:t>IP will be shared d</w:t>
      </w:r>
      <w:r w:rsidR="00D14440">
        <w:rPr>
          <w:sz w:val="22"/>
          <w:szCs w:val="22"/>
        </w:rPr>
        <w:t xml:space="preserve">epending </w:t>
      </w:r>
      <w:r w:rsidR="00A054A7">
        <w:rPr>
          <w:sz w:val="22"/>
          <w:szCs w:val="22"/>
        </w:rPr>
        <w:t xml:space="preserve">on </w:t>
      </w:r>
      <w:r w:rsidR="003D45D5">
        <w:rPr>
          <w:sz w:val="22"/>
          <w:szCs w:val="22"/>
        </w:rPr>
        <w:t xml:space="preserve">the </w:t>
      </w:r>
      <w:r w:rsidR="00D14440">
        <w:rPr>
          <w:sz w:val="22"/>
          <w:szCs w:val="22"/>
        </w:rPr>
        <w:t>responsibilities</w:t>
      </w:r>
      <w:r w:rsidR="00B87760">
        <w:rPr>
          <w:sz w:val="22"/>
          <w:szCs w:val="22"/>
        </w:rPr>
        <w:t xml:space="preserve"> on th</w:t>
      </w:r>
      <w:r w:rsidR="003D45D5">
        <w:rPr>
          <w:sz w:val="22"/>
          <w:szCs w:val="22"/>
        </w:rPr>
        <w:t>is</w:t>
      </w:r>
      <w:r w:rsidR="00B87760">
        <w:rPr>
          <w:sz w:val="22"/>
          <w:szCs w:val="22"/>
        </w:rPr>
        <w:t xml:space="preserve"> work </w:t>
      </w:r>
      <w:r w:rsidR="00B87760">
        <w:rPr>
          <w:sz w:val="22"/>
          <w:szCs w:val="22"/>
        </w:rPr>
        <w:lastRenderedPageBreak/>
        <w:t xml:space="preserve">and </w:t>
      </w:r>
      <w:r w:rsidR="003D45D5">
        <w:rPr>
          <w:sz w:val="22"/>
          <w:szCs w:val="22"/>
        </w:rPr>
        <w:t>the background IP and technology readiness level</w:t>
      </w:r>
      <w:r w:rsidR="00D14440">
        <w:rPr>
          <w:sz w:val="22"/>
          <w:szCs w:val="22"/>
        </w:rPr>
        <w:t xml:space="preserve">; this will always be agreed on </w:t>
      </w:r>
      <w:r w:rsidR="000F517E">
        <w:rPr>
          <w:sz w:val="22"/>
          <w:szCs w:val="22"/>
        </w:rPr>
        <w:t>be</w:t>
      </w:r>
      <w:r w:rsidR="00D14440">
        <w:rPr>
          <w:sz w:val="22"/>
          <w:szCs w:val="22"/>
        </w:rPr>
        <w:t xml:space="preserve">forehand and </w:t>
      </w:r>
      <w:r w:rsidR="000F517E">
        <w:rPr>
          <w:sz w:val="22"/>
          <w:szCs w:val="22"/>
        </w:rPr>
        <w:t xml:space="preserve">discussed </w:t>
      </w:r>
      <w:r w:rsidR="00D14440">
        <w:rPr>
          <w:sz w:val="22"/>
          <w:szCs w:val="22"/>
        </w:rPr>
        <w:t>in good fate. Please note the following guidelines regarding IP:</w:t>
      </w:r>
    </w:p>
    <w:p w14:paraId="548B29C9" w14:textId="2AF5D6D0" w:rsidR="00A26639" w:rsidRPr="00D14440" w:rsidRDefault="00A054A7" w:rsidP="00D14440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Pr="00D14440">
        <w:rPr>
          <w:sz w:val="22"/>
          <w:szCs w:val="22"/>
        </w:rPr>
        <w:t>n a project basis</w:t>
      </w:r>
      <w:r>
        <w:rPr>
          <w:sz w:val="22"/>
          <w:szCs w:val="22"/>
        </w:rPr>
        <w:t>,</w:t>
      </w:r>
      <w:r w:rsidRPr="00D14440">
        <w:rPr>
          <w:sz w:val="22"/>
          <w:szCs w:val="22"/>
        </w:rPr>
        <w:t xml:space="preserve"> </w:t>
      </w:r>
      <w:r w:rsidR="00486796" w:rsidRPr="00D14440">
        <w:rPr>
          <w:sz w:val="22"/>
          <w:szCs w:val="22"/>
        </w:rPr>
        <w:t xml:space="preserve">IP will vest at the respective knowledge centers involved: VU, VUMC, AMC and/or </w:t>
      </w:r>
      <w:proofErr w:type="spellStart"/>
      <w:r w:rsidR="00486796" w:rsidRPr="00D14440">
        <w:rPr>
          <w:sz w:val="22"/>
          <w:szCs w:val="22"/>
        </w:rPr>
        <w:t>U</w:t>
      </w:r>
      <w:r w:rsidR="00B87760">
        <w:rPr>
          <w:sz w:val="22"/>
          <w:szCs w:val="22"/>
        </w:rPr>
        <w:t>v</w:t>
      </w:r>
      <w:r w:rsidR="00486796" w:rsidRPr="00D14440">
        <w:rPr>
          <w:sz w:val="22"/>
          <w:szCs w:val="22"/>
        </w:rPr>
        <w:t>A</w:t>
      </w:r>
      <w:proofErr w:type="spellEnd"/>
      <w:r w:rsidR="00B87760">
        <w:rPr>
          <w:sz w:val="22"/>
          <w:szCs w:val="22"/>
        </w:rPr>
        <w:t>.</w:t>
      </w:r>
    </w:p>
    <w:p w14:paraId="79CED7B6" w14:textId="343EAC79" w:rsidR="00A26639" w:rsidRPr="00D14440" w:rsidRDefault="00486796" w:rsidP="00D14440">
      <w:pPr>
        <w:numPr>
          <w:ilvl w:val="0"/>
          <w:numId w:val="3"/>
        </w:numPr>
        <w:rPr>
          <w:sz w:val="22"/>
          <w:szCs w:val="22"/>
        </w:rPr>
      </w:pPr>
      <w:r w:rsidRPr="00D14440">
        <w:rPr>
          <w:sz w:val="22"/>
          <w:szCs w:val="22"/>
        </w:rPr>
        <w:t>IP share</w:t>
      </w:r>
      <w:r w:rsidR="00B87760">
        <w:rPr>
          <w:sz w:val="22"/>
          <w:szCs w:val="22"/>
        </w:rPr>
        <w:t>s</w:t>
      </w:r>
      <w:r w:rsidRPr="00D14440">
        <w:rPr>
          <w:sz w:val="22"/>
          <w:szCs w:val="22"/>
        </w:rPr>
        <w:t xml:space="preserve"> (%) will be discussed in advance between the involved research groups and the CANDIDATE Center (</w:t>
      </w:r>
      <w:r w:rsidR="00D14440">
        <w:rPr>
          <w:sz w:val="22"/>
          <w:szCs w:val="22"/>
        </w:rPr>
        <w:t xml:space="preserve">vested at </w:t>
      </w:r>
      <w:r w:rsidRPr="00D14440">
        <w:rPr>
          <w:sz w:val="22"/>
          <w:szCs w:val="22"/>
        </w:rPr>
        <w:t>VUMC) and will depend on the respective contributions to the project</w:t>
      </w:r>
      <w:r w:rsidR="00B87760">
        <w:rPr>
          <w:sz w:val="22"/>
          <w:szCs w:val="22"/>
        </w:rPr>
        <w:t>.</w:t>
      </w:r>
    </w:p>
    <w:p w14:paraId="0F366B10" w14:textId="0EFD9368" w:rsidR="00A26639" w:rsidRPr="00D14440" w:rsidRDefault="00B87760" w:rsidP="00D14440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486796" w:rsidRPr="00D14440">
        <w:rPr>
          <w:sz w:val="22"/>
          <w:szCs w:val="22"/>
        </w:rPr>
        <w:t>framework agreement will be put in place between legal entities within A</w:t>
      </w:r>
      <w:r>
        <w:rPr>
          <w:sz w:val="22"/>
          <w:szCs w:val="22"/>
        </w:rPr>
        <w:t>msterdam Neuroscience</w:t>
      </w:r>
      <w:r w:rsidR="00486796" w:rsidRPr="00D14440">
        <w:rPr>
          <w:sz w:val="22"/>
          <w:szCs w:val="22"/>
        </w:rPr>
        <w:t>: VUMC</w:t>
      </w:r>
      <w:r w:rsidR="00D14440">
        <w:rPr>
          <w:sz w:val="22"/>
          <w:szCs w:val="22"/>
        </w:rPr>
        <w:t>,</w:t>
      </w:r>
      <w:r w:rsidR="00486796" w:rsidRPr="00D14440">
        <w:rPr>
          <w:sz w:val="22"/>
          <w:szCs w:val="22"/>
        </w:rPr>
        <w:t xml:space="preserve"> AMC</w:t>
      </w:r>
      <w:r w:rsidR="00D14440">
        <w:rPr>
          <w:sz w:val="22"/>
          <w:szCs w:val="22"/>
        </w:rPr>
        <w:t>,</w:t>
      </w:r>
      <w:r w:rsidR="00486796" w:rsidRPr="00D14440">
        <w:rPr>
          <w:sz w:val="22"/>
          <w:szCs w:val="22"/>
        </w:rPr>
        <w:t xml:space="preserve"> VU</w:t>
      </w:r>
      <w:r w:rsidR="00D14440">
        <w:rPr>
          <w:sz w:val="22"/>
          <w:szCs w:val="22"/>
        </w:rPr>
        <w:t>,</w:t>
      </w:r>
      <w:r w:rsidR="00486796" w:rsidRPr="00D14440">
        <w:rPr>
          <w:sz w:val="22"/>
          <w:szCs w:val="22"/>
        </w:rPr>
        <w:t xml:space="preserve"> </w:t>
      </w:r>
      <w:proofErr w:type="spellStart"/>
      <w:r w:rsidR="00486796" w:rsidRPr="00D14440">
        <w:rPr>
          <w:sz w:val="22"/>
          <w:szCs w:val="22"/>
        </w:rPr>
        <w:t>U</w:t>
      </w:r>
      <w:r>
        <w:rPr>
          <w:sz w:val="22"/>
          <w:szCs w:val="22"/>
        </w:rPr>
        <w:t>v</w:t>
      </w:r>
      <w:r w:rsidR="00486796" w:rsidRPr="00D14440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</w:p>
    <w:p w14:paraId="35B607B9" w14:textId="310CAC10" w:rsidR="00A26639" w:rsidRPr="00D14440" w:rsidRDefault="00486796" w:rsidP="00D14440">
      <w:pPr>
        <w:numPr>
          <w:ilvl w:val="0"/>
          <w:numId w:val="3"/>
        </w:numPr>
        <w:rPr>
          <w:sz w:val="22"/>
          <w:szCs w:val="22"/>
        </w:rPr>
      </w:pPr>
      <w:r w:rsidRPr="00D14440">
        <w:rPr>
          <w:sz w:val="22"/>
          <w:szCs w:val="22"/>
        </w:rPr>
        <w:t xml:space="preserve">Publication strategy is discussed in advance with investigators and </w:t>
      </w:r>
      <w:r w:rsidR="00D14440">
        <w:rPr>
          <w:sz w:val="22"/>
          <w:szCs w:val="22"/>
        </w:rPr>
        <w:t>agreed upon</w:t>
      </w:r>
      <w:r w:rsidR="00B87760">
        <w:rPr>
          <w:sz w:val="22"/>
          <w:szCs w:val="22"/>
        </w:rPr>
        <w:t>.</w:t>
      </w:r>
    </w:p>
    <w:p w14:paraId="2E15ADA5" w14:textId="44148219" w:rsidR="00072BDE" w:rsidRPr="00D14440" w:rsidRDefault="00486796" w:rsidP="00D14440">
      <w:pPr>
        <w:numPr>
          <w:ilvl w:val="0"/>
          <w:numId w:val="3"/>
        </w:numPr>
        <w:rPr>
          <w:sz w:val="22"/>
          <w:szCs w:val="22"/>
        </w:rPr>
      </w:pPr>
      <w:r w:rsidRPr="00D14440">
        <w:rPr>
          <w:sz w:val="22"/>
          <w:szCs w:val="22"/>
        </w:rPr>
        <w:t xml:space="preserve">Programs </w:t>
      </w:r>
      <w:r w:rsidR="00D14440">
        <w:rPr>
          <w:sz w:val="22"/>
          <w:szCs w:val="22"/>
        </w:rPr>
        <w:t>are to</w:t>
      </w:r>
      <w:r w:rsidRPr="00D14440">
        <w:rPr>
          <w:sz w:val="22"/>
          <w:szCs w:val="22"/>
        </w:rPr>
        <w:t xml:space="preserve"> be out-licensed or spun-out; here revenue is shared according to the ‘</w:t>
      </w:r>
      <w:proofErr w:type="spellStart"/>
      <w:r w:rsidRPr="00D14440">
        <w:rPr>
          <w:sz w:val="22"/>
          <w:szCs w:val="22"/>
        </w:rPr>
        <w:t>kennisregeling</w:t>
      </w:r>
      <w:proofErr w:type="spellEnd"/>
      <w:r w:rsidRPr="00D14440">
        <w:rPr>
          <w:sz w:val="22"/>
          <w:szCs w:val="22"/>
        </w:rPr>
        <w:t xml:space="preserve"> </w:t>
      </w:r>
      <w:proofErr w:type="spellStart"/>
      <w:r w:rsidRPr="00D14440">
        <w:rPr>
          <w:sz w:val="22"/>
          <w:szCs w:val="22"/>
        </w:rPr>
        <w:t>valorisatie</w:t>
      </w:r>
      <w:proofErr w:type="spellEnd"/>
      <w:r w:rsidRPr="00D14440">
        <w:rPr>
          <w:sz w:val="22"/>
          <w:szCs w:val="22"/>
        </w:rPr>
        <w:t>’</w:t>
      </w:r>
      <w:r w:rsidR="00B87760">
        <w:rPr>
          <w:sz w:val="22"/>
          <w:szCs w:val="22"/>
        </w:rPr>
        <w:t>.</w:t>
      </w:r>
      <w:r w:rsidR="00B11EBC">
        <w:rPr>
          <w:sz w:val="22"/>
          <w:szCs w:val="22"/>
        </w:rPr>
        <w:t xml:space="preserve"> </w:t>
      </w:r>
    </w:p>
    <w:sectPr w:rsidR="00072BDE" w:rsidRPr="00D14440" w:rsidSect="00FF7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5598A" w14:textId="77777777" w:rsidR="002276FF" w:rsidRDefault="002276FF" w:rsidP="00D14440">
      <w:r>
        <w:separator/>
      </w:r>
    </w:p>
  </w:endnote>
  <w:endnote w:type="continuationSeparator" w:id="0">
    <w:p w14:paraId="6BC7EEFA" w14:textId="77777777" w:rsidR="002276FF" w:rsidRDefault="002276FF" w:rsidP="00D1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FAD5" w14:textId="77777777" w:rsidR="00850011" w:rsidRDefault="008500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D5D1" w14:textId="0502DB02" w:rsidR="00D14440" w:rsidRPr="00072BDE" w:rsidRDefault="00D14440" w:rsidP="00D14440">
    <w:pPr>
      <w:jc w:val="right"/>
      <w:rPr>
        <w:i/>
        <w:sz w:val="22"/>
        <w:szCs w:val="22"/>
      </w:rPr>
    </w:pPr>
    <w:r w:rsidRPr="00072BDE">
      <w:rPr>
        <w:i/>
        <w:sz w:val="22"/>
        <w:szCs w:val="22"/>
      </w:rPr>
      <w:t xml:space="preserve">We are much looking forward </w:t>
    </w:r>
    <w:r w:rsidR="0062782C">
      <w:rPr>
        <w:i/>
        <w:sz w:val="22"/>
        <w:szCs w:val="22"/>
      </w:rPr>
      <w:t xml:space="preserve">to </w:t>
    </w:r>
    <w:r w:rsidRPr="00072BDE">
      <w:rPr>
        <w:i/>
        <w:sz w:val="22"/>
        <w:szCs w:val="22"/>
      </w:rPr>
      <w:t>developing drugs for brain diseases together</w:t>
    </w:r>
    <w:r>
      <w:rPr>
        <w:i/>
        <w:sz w:val="22"/>
        <w:szCs w:val="22"/>
      </w:rPr>
      <w:t>!</w:t>
    </w:r>
  </w:p>
  <w:p w14:paraId="0831BEA6" w14:textId="77777777" w:rsidR="00D14440" w:rsidRDefault="00D144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51B4" w14:textId="77777777" w:rsidR="00850011" w:rsidRDefault="008500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B51E" w14:textId="77777777" w:rsidR="002276FF" w:rsidRDefault="002276FF" w:rsidP="00D14440">
      <w:r>
        <w:separator/>
      </w:r>
    </w:p>
  </w:footnote>
  <w:footnote w:type="continuationSeparator" w:id="0">
    <w:p w14:paraId="556E322A" w14:textId="77777777" w:rsidR="002276FF" w:rsidRDefault="002276FF" w:rsidP="00D1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5A86" w14:textId="77777777" w:rsidR="00850011" w:rsidRDefault="008500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E0C8" w14:textId="20968F26" w:rsidR="007946FD" w:rsidRDefault="007D439C" w:rsidP="007946FD">
    <w:pPr>
      <w:pStyle w:val="Koptekst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FE59A1" wp14:editId="202253A1">
          <wp:simplePos x="0" y="0"/>
          <wp:positionH relativeFrom="column">
            <wp:posOffset>15240</wp:posOffset>
          </wp:positionH>
          <wp:positionV relativeFrom="paragraph">
            <wp:posOffset>-38100</wp:posOffset>
          </wp:positionV>
          <wp:extent cx="2122170" cy="401230"/>
          <wp:effectExtent l="0" t="0" r="0" b="0"/>
          <wp:wrapSquare wrapText="bothSides"/>
          <wp:docPr id="156151705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51705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170" cy="40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011">
      <w:rPr>
        <w:noProof/>
      </w:rPr>
      <w:drawing>
        <wp:anchor distT="0" distB="0" distL="114300" distR="114300" simplePos="0" relativeHeight="251660288" behindDoc="0" locked="0" layoutInCell="1" allowOverlap="1" wp14:anchorId="5B395E71" wp14:editId="43AB6034">
          <wp:simplePos x="0" y="0"/>
          <wp:positionH relativeFrom="column">
            <wp:posOffset>4137660</wp:posOffset>
          </wp:positionH>
          <wp:positionV relativeFrom="paragraph">
            <wp:posOffset>71755</wp:posOffset>
          </wp:positionV>
          <wp:extent cx="1555750" cy="29400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msterdam-Neuroscience-2016-cmyk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B9F0" w14:textId="77777777" w:rsidR="00850011" w:rsidRDefault="0085001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BF2"/>
    <w:multiLevelType w:val="hybridMultilevel"/>
    <w:tmpl w:val="5352D996"/>
    <w:lvl w:ilvl="0" w:tplc="679425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4503"/>
    <w:multiLevelType w:val="hybridMultilevel"/>
    <w:tmpl w:val="D7D22392"/>
    <w:lvl w:ilvl="0" w:tplc="E6E8DF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36AE5"/>
    <w:multiLevelType w:val="hybridMultilevel"/>
    <w:tmpl w:val="60A2B3F0"/>
    <w:lvl w:ilvl="0" w:tplc="9002F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7CA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EC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7E4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89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0B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4A7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C81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8B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7725050">
    <w:abstractNumId w:val="1"/>
  </w:num>
  <w:num w:numId="2" w16cid:durableId="1452284269">
    <w:abstractNumId w:val="0"/>
  </w:num>
  <w:num w:numId="3" w16cid:durableId="818880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7A"/>
    <w:rsid w:val="00072BDE"/>
    <w:rsid w:val="000F517E"/>
    <w:rsid w:val="0011252B"/>
    <w:rsid w:val="00191A2A"/>
    <w:rsid w:val="001E4A80"/>
    <w:rsid w:val="002276FF"/>
    <w:rsid w:val="00293888"/>
    <w:rsid w:val="002C0555"/>
    <w:rsid w:val="002D4078"/>
    <w:rsid w:val="003D45D5"/>
    <w:rsid w:val="00456E11"/>
    <w:rsid w:val="00467AA4"/>
    <w:rsid w:val="00475935"/>
    <w:rsid w:val="00486796"/>
    <w:rsid w:val="005663D8"/>
    <w:rsid w:val="005A0C7A"/>
    <w:rsid w:val="005C0CB0"/>
    <w:rsid w:val="0061079B"/>
    <w:rsid w:val="0062782C"/>
    <w:rsid w:val="00653A3D"/>
    <w:rsid w:val="007946FD"/>
    <w:rsid w:val="007B72AC"/>
    <w:rsid w:val="007D439C"/>
    <w:rsid w:val="00811B1B"/>
    <w:rsid w:val="00850011"/>
    <w:rsid w:val="00891625"/>
    <w:rsid w:val="008D2B29"/>
    <w:rsid w:val="00914E93"/>
    <w:rsid w:val="00945528"/>
    <w:rsid w:val="00993D9B"/>
    <w:rsid w:val="009C1B6E"/>
    <w:rsid w:val="00A054A7"/>
    <w:rsid w:val="00A26639"/>
    <w:rsid w:val="00A456E3"/>
    <w:rsid w:val="00B00142"/>
    <w:rsid w:val="00B02431"/>
    <w:rsid w:val="00B11EBC"/>
    <w:rsid w:val="00B87760"/>
    <w:rsid w:val="00BB474D"/>
    <w:rsid w:val="00BD2DBF"/>
    <w:rsid w:val="00C4587F"/>
    <w:rsid w:val="00C750BA"/>
    <w:rsid w:val="00CD2DB7"/>
    <w:rsid w:val="00D14440"/>
    <w:rsid w:val="00D305FF"/>
    <w:rsid w:val="00D865D5"/>
    <w:rsid w:val="00DC4776"/>
    <w:rsid w:val="00E76687"/>
    <w:rsid w:val="00E96C36"/>
    <w:rsid w:val="00F369B9"/>
    <w:rsid w:val="00F56625"/>
    <w:rsid w:val="00F65B57"/>
    <w:rsid w:val="00FD6536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915E8"/>
  <w15:chartTrackingRefBased/>
  <w15:docId w15:val="{B582F3B9-074C-FB4A-8459-F3F97A69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0C7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14440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4440"/>
  </w:style>
  <w:style w:type="paragraph" w:styleId="Voettekst">
    <w:name w:val="footer"/>
    <w:basedOn w:val="Standaard"/>
    <w:link w:val="VoettekstChar"/>
    <w:uiPriority w:val="99"/>
    <w:unhideWhenUsed/>
    <w:rsid w:val="00D14440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4440"/>
  </w:style>
  <w:style w:type="paragraph" w:styleId="Ballontekst">
    <w:name w:val="Balloon Text"/>
    <w:basedOn w:val="Standaard"/>
    <w:link w:val="BallontekstChar"/>
    <w:uiPriority w:val="99"/>
    <w:semiHidden/>
    <w:unhideWhenUsed/>
    <w:rsid w:val="00BB474D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474D"/>
    <w:rPr>
      <w:rFonts w:ascii="Times New Roman" w:hAnsi="Times New Roman"/>
      <w:sz w:val="18"/>
      <w:szCs w:val="18"/>
    </w:rPr>
  </w:style>
  <w:style w:type="paragraph" w:styleId="Revisie">
    <w:name w:val="Revision"/>
    <w:hidden/>
    <w:uiPriority w:val="99"/>
    <w:semiHidden/>
    <w:rsid w:val="005C0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53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4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Bokhoven, P. van (Pieter)</dc:creator>
  <cp:keywords/>
  <dc:description/>
  <cp:lastModifiedBy>Kim de Kleijn</cp:lastModifiedBy>
  <cp:revision>10</cp:revision>
  <dcterms:created xsi:type="dcterms:W3CDTF">2023-04-04T12:51:00Z</dcterms:created>
  <dcterms:modified xsi:type="dcterms:W3CDTF">2023-09-19T13:02:00Z</dcterms:modified>
</cp:coreProperties>
</file>